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551C" w:rsidRPr="00F26A88" w:rsidRDefault="00AC551C" w:rsidP="00AC551C">
      <w:pPr>
        <w:rPr>
          <w:rFonts w:ascii="Times New Roman" w:hAnsi="Times New Roman" w:cs="Times New Roman"/>
        </w:rPr>
      </w:pPr>
      <w:r w:rsidRPr="00F26A88">
        <w:rPr>
          <w:rFonts w:ascii="Times New Roman" w:hAnsi="Times New Roman" w:cs="Times New Roman"/>
          <w:b/>
        </w:rPr>
        <w:t>T</w:t>
      </w:r>
      <w:r w:rsidR="00007F6D">
        <w:rPr>
          <w:rFonts w:ascii="Times New Roman" w:hAnsi="Times New Roman" w:cs="Times New Roman"/>
          <w:b/>
        </w:rPr>
        <w:t>able</w:t>
      </w:r>
      <w:r w:rsidRPr="00F26A88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S1</w:t>
      </w:r>
      <w:r w:rsidRPr="00F26A88">
        <w:rPr>
          <w:rFonts w:ascii="Times New Roman" w:hAnsi="Times New Roman" w:cs="Times New Roman"/>
        </w:rPr>
        <w:t xml:space="preserve"> Univariate analysis </w:t>
      </w:r>
      <w:r>
        <w:rPr>
          <w:rFonts w:ascii="Times New Roman" w:hAnsi="Times New Roman" w:cs="Times New Roman"/>
        </w:rPr>
        <w:t>of PET</w:t>
      </w:r>
      <w:r w:rsidRPr="00312C9B">
        <w:rPr>
          <w:rFonts w:ascii="Times New Roman" w:hAnsi="Times New Roman" w:cs="Times New Roman"/>
        </w:rPr>
        <w:t xml:space="preserve"> Parameters</w:t>
      </w:r>
      <w:r>
        <w:rPr>
          <w:rFonts w:ascii="Times New Roman" w:hAnsi="Times New Roman" w:cs="Times New Roman"/>
        </w:rPr>
        <w:t xml:space="preserve"> </w:t>
      </w:r>
      <w:r w:rsidRPr="00F26A88">
        <w:rPr>
          <w:rFonts w:ascii="Times New Roman" w:hAnsi="Times New Roman" w:cs="Times New Roman"/>
        </w:rPr>
        <w:t>for PFS in the training cohort</w:t>
      </w:r>
    </w:p>
    <w:tbl>
      <w:tblPr>
        <w:tblStyle w:val="a3"/>
        <w:tblW w:w="8521" w:type="dxa"/>
        <w:tblBorders>
          <w:top w:val="single" w:sz="12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4"/>
        <w:gridCol w:w="2129"/>
        <w:gridCol w:w="2129"/>
        <w:gridCol w:w="1179"/>
      </w:tblGrid>
      <w:tr w:rsidR="00AC551C" w:rsidRPr="00F26A88" w:rsidTr="00A7135A">
        <w:tc>
          <w:tcPr>
            <w:tcW w:w="3084" w:type="dxa"/>
            <w:tcBorders>
              <w:top w:val="single" w:sz="12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Parameters</w:t>
            </w:r>
          </w:p>
        </w:tc>
        <w:tc>
          <w:tcPr>
            <w:tcW w:w="2129" w:type="dxa"/>
            <w:tcBorders>
              <w:top w:val="single" w:sz="12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HR [95% CI]</w:t>
            </w:r>
          </w:p>
        </w:tc>
        <w:tc>
          <w:tcPr>
            <w:tcW w:w="2129" w:type="dxa"/>
            <w:tcBorders>
              <w:top w:val="single" w:sz="12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C-index</w:t>
            </w:r>
          </w:p>
        </w:tc>
        <w:tc>
          <w:tcPr>
            <w:tcW w:w="1179" w:type="dxa"/>
            <w:tcBorders>
              <w:top w:val="single" w:sz="12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6125142"/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UVmax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-T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.027 [0.940-1.122]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.556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Default="00AC551C" w:rsidP="00A7135A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OLE_LINK475"/>
            <w:bookmarkStart w:id="2" w:name="OLE_LINK476"/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UVmean-T-2.5</w:t>
            </w:r>
            <w:bookmarkEnd w:id="1"/>
            <w:bookmarkEnd w:id="2"/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.003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[0.693-1.452]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.988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6127847"/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MTV-T-2.5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 xml:space="preserve"> [1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.007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-1.04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TLG-T-2.5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1.004 [1.001-1.007]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  <w:bookmarkEnd w:id="3"/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UVmean-T-70%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.035 [0.930-1.151]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.534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_Hlk6128079"/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MTV-T-70%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 xml:space="preserve"> [1.01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-1.2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TLG-T-70%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 xml:space="preserve"> [1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.004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  <w:bookmarkEnd w:id="4"/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I-T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.380 [0.616-3.091]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.434</w:t>
            </w:r>
          </w:p>
        </w:tc>
      </w:tr>
      <w:bookmarkEnd w:id="0"/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Diameter-N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 xml:space="preserve"> [1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.005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-2.4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UVmax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-N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" w:name="OLE_LINK515"/>
            <w:bookmarkStart w:id="6" w:name="OLE_LINK516"/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.066 [0.996-1.142]</w:t>
            </w:r>
            <w:bookmarkEnd w:id="5"/>
            <w:bookmarkEnd w:id="6"/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.64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.067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UVmean-N-2.5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OLE_LINK517"/>
            <w:bookmarkStart w:id="8" w:name="OLE_LINK518"/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.176 [0.981-1.410]</w:t>
            </w:r>
            <w:bookmarkEnd w:id="7"/>
            <w:bookmarkEnd w:id="8"/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.64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.079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9" w:name="_Hlk6128494"/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MTV-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-2.5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.013 [0.984-1.044]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.65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.384</w:t>
            </w:r>
          </w:p>
        </w:tc>
      </w:tr>
      <w:bookmarkEnd w:id="9"/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TLG-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-2.5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0" w:name="OLE_LINK521"/>
            <w:bookmarkStart w:id="11" w:name="OLE_LINK522"/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.000 [0.996-1.005]</w:t>
            </w:r>
            <w:bookmarkEnd w:id="10"/>
            <w:bookmarkEnd w:id="11"/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.65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.829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UVmean-N-70%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2" w:name="OLE_LINK523"/>
            <w:bookmarkStart w:id="13" w:name="OLE_LINK524"/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.078 [0.993-1.172]</w:t>
            </w:r>
            <w:bookmarkEnd w:id="12"/>
            <w:bookmarkEnd w:id="13"/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.64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.074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MTV-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-70%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4" w:name="OLE_LINK525"/>
            <w:bookmarkStart w:id="15" w:name="OLE_LINK526"/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.046 [0.932-1.175]</w:t>
            </w:r>
            <w:bookmarkEnd w:id="14"/>
            <w:bookmarkEnd w:id="15"/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.66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.445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TLG-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-70%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.001 [0.989-1.013]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.67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.891</w:t>
            </w:r>
          </w:p>
        </w:tc>
      </w:tr>
      <w:tr w:rsidR="00AC551C" w:rsidRPr="00F26A88" w:rsidTr="00A7135A">
        <w:tc>
          <w:tcPr>
            <w:tcW w:w="3084" w:type="dxa"/>
          </w:tcPr>
          <w:p w:rsidR="00AC551C" w:rsidRPr="00F26A88" w:rsidRDefault="00AC551C" w:rsidP="00A7135A">
            <w:pPr>
              <w:spacing w:line="32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I-T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 xml:space="preserve"> [1.27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-6.4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12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1179" w:type="dxa"/>
          </w:tcPr>
          <w:p w:rsidR="00AC551C" w:rsidRPr="00F26A88" w:rsidRDefault="00AC551C" w:rsidP="00A7135A">
            <w:pPr>
              <w:spacing w:line="32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</w:tr>
    </w:tbl>
    <w:p w:rsidR="00AC551C" w:rsidRPr="00F26A88" w:rsidRDefault="00AC551C" w:rsidP="00AC551C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F26A88">
        <w:rPr>
          <w:rFonts w:ascii="Times New Roman" w:hAnsi="Times New Roman" w:cs="Times New Roman"/>
          <w:sz w:val="20"/>
          <w:szCs w:val="20"/>
        </w:rPr>
        <w:t>Abbrevation</w:t>
      </w:r>
      <w:r w:rsidR="00C174CD">
        <w:rPr>
          <w:rFonts w:ascii="Times New Roman" w:hAnsi="Times New Roman" w:cs="Times New Roman"/>
          <w:sz w:val="20"/>
          <w:szCs w:val="20"/>
        </w:rPr>
        <w:t>s</w:t>
      </w:r>
      <w:proofErr w:type="spellEnd"/>
      <w:r w:rsidRPr="00F26A88">
        <w:rPr>
          <w:rFonts w:ascii="Times New Roman" w:hAnsi="Times New Roman" w:cs="Times New Roman"/>
          <w:sz w:val="20"/>
          <w:szCs w:val="20"/>
        </w:rPr>
        <w:t>: PET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26A88">
        <w:rPr>
          <w:rFonts w:ascii="Times New Roman" w:hAnsi="Times New Roman" w:cs="Times New Roman"/>
          <w:sz w:val="20"/>
          <w:szCs w:val="20"/>
        </w:rPr>
        <w:t xml:space="preserve"> positron emission tomography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F26A88">
        <w:rPr>
          <w:rFonts w:ascii="Times New Roman" w:hAnsi="Times New Roman" w:cs="Times New Roman"/>
          <w:sz w:val="20"/>
          <w:szCs w:val="20"/>
        </w:rPr>
        <w:t xml:space="preserve"> PFS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26A88">
        <w:rPr>
          <w:rFonts w:ascii="Times New Roman" w:hAnsi="Times New Roman" w:cs="Times New Roman"/>
          <w:sz w:val="20"/>
          <w:szCs w:val="20"/>
        </w:rPr>
        <w:t xml:space="preserve"> progression-free survival, HR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26A88">
        <w:rPr>
          <w:rFonts w:ascii="Times New Roman" w:hAnsi="Times New Roman" w:cs="Times New Roman"/>
          <w:sz w:val="20"/>
          <w:szCs w:val="20"/>
        </w:rPr>
        <w:t xml:space="preserve"> hazard ratio; CI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26A88">
        <w:rPr>
          <w:rFonts w:ascii="Times New Roman" w:hAnsi="Times New Roman" w:cs="Times New Roman"/>
          <w:sz w:val="20"/>
          <w:szCs w:val="20"/>
        </w:rPr>
        <w:t xml:space="preserve"> confidence interval; </w:t>
      </w:r>
      <w:r>
        <w:rPr>
          <w:rFonts w:ascii="Times New Roman" w:hAnsi="Times New Roman" w:cs="Times New Roman"/>
          <w:sz w:val="20"/>
          <w:szCs w:val="20"/>
        </w:rPr>
        <w:t xml:space="preserve">T, tumor; N, </w:t>
      </w:r>
      <w:bookmarkStart w:id="16" w:name="OLE_LINK79"/>
      <w:bookmarkStart w:id="17" w:name="OLE_LINK80"/>
      <w:r w:rsidRPr="00F26A88">
        <w:rPr>
          <w:rFonts w:ascii="Times New Roman" w:hAnsi="Times New Roman" w:cs="Times New Roman"/>
          <w:sz w:val="20"/>
          <w:szCs w:val="20"/>
        </w:rPr>
        <w:t>maximal neck lymph node</w:t>
      </w:r>
      <w:bookmarkEnd w:id="16"/>
      <w:bookmarkEnd w:id="17"/>
      <w:r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>
        <w:rPr>
          <w:rFonts w:ascii="Times New Roman" w:hAnsi="Times New Roman" w:cs="Times New Roman"/>
          <w:sz w:val="20"/>
          <w:szCs w:val="20"/>
        </w:rPr>
        <w:t>SUVmax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682641">
        <w:rPr>
          <w:rFonts w:ascii="Times New Roman" w:hAnsi="Times New Roman" w:cs="Times New Roman" w:hint="eastAsia"/>
          <w:sz w:val="20"/>
          <w:szCs w:val="20"/>
        </w:rPr>
        <w:t xml:space="preserve">maximum </w:t>
      </w:r>
      <w:bookmarkStart w:id="18" w:name="OLE_LINK489"/>
      <w:bookmarkStart w:id="19" w:name="OLE_LINK490"/>
      <w:r w:rsidRPr="00682641">
        <w:rPr>
          <w:rFonts w:ascii="Times New Roman" w:hAnsi="Times New Roman" w:cs="Times New Roman" w:hint="eastAsia"/>
          <w:sz w:val="20"/>
          <w:szCs w:val="20"/>
        </w:rPr>
        <w:t xml:space="preserve">of </w:t>
      </w:r>
      <w:r w:rsidRPr="00682641">
        <w:rPr>
          <w:rFonts w:ascii="Times New Roman" w:hAnsi="Times New Roman" w:cs="Times New Roman"/>
          <w:sz w:val="20"/>
          <w:szCs w:val="20"/>
        </w:rPr>
        <w:t>standard</w:t>
      </w:r>
      <w:r w:rsidRPr="00682641">
        <w:rPr>
          <w:rFonts w:ascii="Times New Roman" w:hAnsi="Times New Roman" w:cs="Times New Roman" w:hint="eastAsia"/>
          <w:sz w:val="20"/>
          <w:szCs w:val="20"/>
        </w:rPr>
        <w:t xml:space="preserve">ized </w:t>
      </w:r>
      <w:r w:rsidRPr="00682641">
        <w:rPr>
          <w:rFonts w:ascii="Times New Roman" w:hAnsi="Times New Roman" w:cs="Times New Roman"/>
          <w:sz w:val="20"/>
          <w:szCs w:val="20"/>
        </w:rPr>
        <w:t>uptake</w:t>
      </w:r>
      <w:r w:rsidRPr="00682641">
        <w:rPr>
          <w:rFonts w:ascii="Times New Roman" w:hAnsi="Times New Roman" w:cs="Times New Roman" w:hint="eastAsia"/>
          <w:sz w:val="20"/>
          <w:szCs w:val="20"/>
        </w:rPr>
        <w:t xml:space="preserve"> value</w:t>
      </w:r>
      <w:bookmarkEnd w:id="18"/>
      <w:bookmarkEnd w:id="19"/>
      <w:r w:rsidRPr="00F26A88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>
        <w:rPr>
          <w:rFonts w:ascii="Times New Roman" w:hAnsi="Times New Roman" w:cs="Times New Roman"/>
          <w:sz w:val="20"/>
          <w:szCs w:val="20"/>
        </w:rPr>
        <w:t>SUVmean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682641">
        <w:rPr>
          <w:rFonts w:ascii="Times New Roman" w:hAnsi="Times New Roman" w:cs="Times New Roman" w:hint="eastAsia"/>
          <w:sz w:val="20"/>
          <w:szCs w:val="20"/>
        </w:rPr>
        <w:t xml:space="preserve">mean of </w:t>
      </w:r>
      <w:r w:rsidRPr="00682641">
        <w:rPr>
          <w:rFonts w:ascii="Times New Roman" w:hAnsi="Times New Roman" w:cs="Times New Roman"/>
          <w:sz w:val="20"/>
          <w:szCs w:val="20"/>
        </w:rPr>
        <w:t>standard</w:t>
      </w:r>
      <w:r w:rsidRPr="00682641">
        <w:rPr>
          <w:rFonts w:ascii="Times New Roman" w:hAnsi="Times New Roman" w:cs="Times New Roman" w:hint="eastAsia"/>
          <w:sz w:val="20"/>
          <w:szCs w:val="20"/>
        </w:rPr>
        <w:t xml:space="preserve">ized </w:t>
      </w:r>
      <w:r w:rsidRPr="00682641">
        <w:rPr>
          <w:rFonts w:ascii="Times New Roman" w:hAnsi="Times New Roman" w:cs="Times New Roman"/>
          <w:sz w:val="20"/>
          <w:szCs w:val="20"/>
        </w:rPr>
        <w:t>uptake</w:t>
      </w:r>
      <w:r w:rsidRPr="00682641">
        <w:rPr>
          <w:rFonts w:ascii="Times New Roman" w:hAnsi="Times New Roman" w:cs="Times New Roman" w:hint="eastAsia"/>
          <w:sz w:val="20"/>
          <w:szCs w:val="20"/>
        </w:rPr>
        <w:t xml:space="preserve"> value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682641">
        <w:rPr>
          <w:rFonts w:ascii="Times New Roman" w:hAnsi="Times New Roman" w:cs="Times New Roman"/>
          <w:sz w:val="20"/>
          <w:szCs w:val="20"/>
        </w:rPr>
        <w:t xml:space="preserve"> </w:t>
      </w:r>
      <w:r w:rsidRPr="00F26A88">
        <w:rPr>
          <w:rFonts w:ascii="Times New Roman" w:hAnsi="Times New Roman" w:cs="Times New Roman"/>
          <w:sz w:val="20"/>
          <w:szCs w:val="20"/>
        </w:rPr>
        <w:t>MTV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26A88">
        <w:rPr>
          <w:rFonts w:ascii="Times New Roman" w:hAnsi="Times New Roman" w:cs="Times New Roman"/>
          <w:sz w:val="20"/>
          <w:szCs w:val="20"/>
        </w:rPr>
        <w:t xml:space="preserve"> metabolic tumor volume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bookmarkStart w:id="20" w:name="OLE_LINK77"/>
      <w:bookmarkStart w:id="21" w:name="OLE_LINK78"/>
      <w:r w:rsidRPr="00F26A88">
        <w:rPr>
          <w:rFonts w:ascii="Times New Roman" w:hAnsi="Times New Roman" w:cs="Times New Roman"/>
          <w:sz w:val="20"/>
          <w:szCs w:val="20"/>
        </w:rPr>
        <w:t>TLG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26A88">
        <w:rPr>
          <w:rFonts w:ascii="Times New Roman" w:hAnsi="Times New Roman" w:cs="Times New Roman"/>
          <w:sz w:val="20"/>
          <w:szCs w:val="20"/>
        </w:rPr>
        <w:t xml:space="preserve"> total lesion glucose; HI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26A88">
        <w:rPr>
          <w:rFonts w:ascii="Times New Roman" w:hAnsi="Times New Roman" w:cs="Times New Roman"/>
          <w:sz w:val="20"/>
          <w:szCs w:val="20"/>
        </w:rPr>
        <w:t xml:space="preserve"> heterogeneity inde</w:t>
      </w:r>
      <w:r>
        <w:rPr>
          <w:rFonts w:ascii="Times New Roman" w:hAnsi="Times New Roman" w:cs="Times New Roman"/>
          <w:sz w:val="20"/>
          <w:szCs w:val="20"/>
        </w:rPr>
        <w:t>x</w:t>
      </w:r>
      <w:r w:rsidRPr="00F26A88">
        <w:rPr>
          <w:rFonts w:ascii="Times New Roman" w:hAnsi="Times New Roman" w:cs="Times New Roman"/>
          <w:sz w:val="20"/>
          <w:szCs w:val="20"/>
        </w:rPr>
        <w:t>.</w:t>
      </w:r>
    </w:p>
    <w:bookmarkEnd w:id="20"/>
    <w:bookmarkEnd w:id="21"/>
    <w:p w:rsidR="00AC551C" w:rsidRPr="007E7085" w:rsidRDefault="00AC551C" w:rsidP="00AC551C">
      <w:pPr>
        <w:rPr>
          <w:rFonts w:ascii="Times New Roman" w:hAnsi="Times New Roman" w:cs="Times New Roman"/>
          <w:b/>
        </w:rPr>
      </w:pPr>
    </w:p>
    <w:p w:rsidR="00AC551C" w:rsidRDefault="00AC551C" w:rsidP="00AC551C">
      <w:pPr>
        <w:rPr>
          <w:rFonts w:ascii="Times New Roman" w:hAnsi="Times New Roman" w:cs="Times New Roman"/>
          <w:b/>
        </w:rPr>
      </w:pPr>
    </w:p>
    <w:p w:rsidR="00AC551C" w:rsidRDefault="00AC551C" w:rsidP="00AC551C">
      <w:pPr>
        <w:rPr>
          <w:rFonts w:ascii="Times New Roman" w:hAnsi="Times New Roman" w:cs="Times New Roman"/>
          <w:b/>
        </w:rPr>
      </w:pPr>
    </w:p>
    <w:p w:rsidR="00AC551C" w:rsidRDefault="00AC551C" w:rsidP="00AC551C">
      <w:pPr>
        <w:rPr>
          <w:rFonts w:ascii="Times New Roman" w:hAnsi="Times New Roman" w:cs="Times New Roman"/>
          <w:b/>
        </w:rPr>
      </w:pPr>
    </w:p>
    <w:p w:rsidR="00AC551C" w:rsidRDefault="00AC551C" w:rsidP="00AC551C">
      <w:pPr>
        <w:rPr>
          <w:rFonts w:ascii="Times New Roman" w:hAnsi="Times New Roman" w:cs="Times New Roman"/>
          <w:b/>
        </w:rPr>
      </w:pPr>
    </w:p>
    <w:p w:rsidR="00AC551C" w:rsidRPr="00F26A88" w:rsidRDefault="00AC551C" w:rsidP="00AC551C">
      <w:pPr>
        <w:rPr>
          <w:rFonts w:ascii="Times New Roman" w:hAnsi="Times New Roman" w:cs="Times New Roman"/>
        </w:rPr>
      </w:pPr>
      <w:r w:rsidRPr="00F26A88">
        <w:rPr>
          <w:rFonts w:ascii="Times New Roman" w:hAnsi="Times New Roman" w:cs="Times New Roman"/>
          <w:b/>
        </w:rPr>
        <w:t>T</w:t>
      </w:r>
      <w:r w:rsidR="00007F6D">
        <w:rPr>
          <w:rFonts w:ascii="Times New Roman" w:hAnsi="Times New Roman" w:cs="Times New Roman"/>
          <w:b/>
        </w:rPr>
        <w:t>able</w:t>
      </w:r>
      <w:bookmarkStart w:id="22" w:name="_GoBack"/>
      <w:bookmarkEnd w:id="22"/>
      <w:r w:rsidRPr="00F26A88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S2</w:t>
      </w:r>
      <w:r w:rsidRPr="00F26A88">
        <w:rPr>
          <w:rFonts w:ascii="Times New Roman" w:hAnsi="Times New Roman" w:cs="Times New Roman"/>
        </w:rPr>
        <w:t xml:space="preserve"> Risk</w:t>
      </w:r>
      <w:r>
        <w:rPr>
          <w:rFonts w:ascii="Times New Roman" w:hAnsi="Times New Roman" w:cs="Times New Roman"/>
        </w:rPr>
        <w:t>-</w:t>
      </w:r>
      <w:r w:rsidRPr="00F26A88">
        <w:rPr>
          <w:rFonts w:ascii="Times New Roman" w:hAnsi="Times New Roman" w:cs="Times New Roman"/>
        </w:rPr>
        <w:t>group based on nomogram for 5-Year progression-free survival (PFS) in the training and validation cohorts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7"/>
        <w:gridCol w:w="906"/>
        <w:gridCol w:w="1556"/>
        <w:gridCol w:w="900"/>
        <w:gridCol w:w="981"/>
        <w:gridCol w:w="424"/>
        <w:gridCol w:w="981"/>
        <w:gridCol w:w="981"/>
      </w:tblGrid>
      <w:tr w:rsidR="00AC551C" w:rsidRPr="00F26A88" w:rsidTr="00AC551C">
        <w:trPr>
          <w:jc w:val="center"/>
        </w:trPr>
        <w:tc>
          <w:tcPr>
            <w:tcW w:w="1437" w:type="dxa"/>
            <w:vMerge w:val="restart"/>
            <w:tcBorders>
              <w:top w:val="single" w:sz="12" w:space="0" w:color="auto"/>
              <w:bottom w:val="nil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Risk-group by nomogram</w:t>
            </w:r>
          </w:p>
        </w:tc>
        <w:tc>
          <w:tcPr>
            <w:tcW w:w="906" w:type="dxa"/>
            <w:tcBorders>
              <w:top w:val="single" w:sz="12" w:space="0" w:color="auto"/>
              <w:bottom w:val="nil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12" w:space="0" w:color="auto"/>
              <w:bottom w:val="nil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1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Training (n=101)</w:t>
            </w:r>
          </w:p>
        </w:tc>
        <w:tc>
          <w:tcPr>
            <w:tcW w:w="424" w:type="dxa"/>
            <w:tcBorders>
              <w:top w:val="single" w:sz="12" w:space="0" w:color="auto"/>
              <w:bottom w:val="nil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Validation (n=70)</w:t>
            </w:r>
          </w:p>
        </w:tc>
      </w:tr>
      <w:tr w:rsidR="00AC551C" w:rsidRPr="00F26A88" w:rsidTr="00A7135A">
        <w:trPr>
          <w:jc w:val="center"/>
        </w:trPr>
        <w:tc>
          <w:tcPr>
            <w:tcW w:w="1437" w:type="dxa"/>
            <w:vMerge/>
            <w:tcBorders>
              <w:top w:val="nil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Cut-off</w:t>
            </w:r>
          </w:p>
        </w:tc>
        <w:tc>
          <w:tcPr>
            <w:tcW w:w="1556" w:type="dxa"/>
            <w:tcBorders>
              <w:top w:val="nil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Range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81" w:type="dxa"/>
            <w:tcBorders>
              <w:top w:val="single" w:sz="8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Rate (%)</w:t>
            </w:r>
          </w:p>
        </w:tc>
        <w:tc>
          <w:tcPr>
            <w:tcW w:w="424" w:type="dxa"/>
            <w:tcBorders>
              <w:top w:val="nil"/>
              <w:bottom w:val="nil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8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81" w:type="dxa"/>
            <w:tcBorders>
              <w:top w:val="single" w:sz="8" w:space="0" w:color="auto"/>
              <w:bottom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Rate (%)</w:t>
            </w:r>
          </w:p>
        </w:tc>
      </w:tr>
      <w:tr w:rsidR="00AC551C" w:rsidRPr="00F26A88" w:rsidTr="00A7135A">
        <w:trPr>
          <w:jc w:val="center"/>
        </w:trPr>
        <w:tc>
          <w:tcPr>
            <w:tcW w:w="1437" w:type="dxa"/>
            <w:tcBorders>
              <w:top w:val="single" w:sz="8" w:space="0" w:color="auto"/>
            </w:tcBorders>
          </w:tcPr>
          <w:p w:rsidR="00AC551C" w:rsidRPr="00F26A88" w:rsidRDefault="00AC551C" w:rsidP="00A7135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906" w:type="dxa"/>
            <w:tcBorders>
              <w:top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55%</w:t>
            </w:r>
          </w:p>
        </w:tc>
        <w:tc>
          <w:tcPr>
            <w:tcW w:w="1556" w:type="dxa"/>
            <w:tcBorders>
              <w:top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0-76</w:t>
            </w:r>
          </w:p>
        </w:tc>
        <w:tc>
          <w:tcPr>
            <w:tcW w:w="900" w:type="dxa"/>
            <w:tcBorders>
              <w:top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81" w:type="dxa"/>
            <w:tcBorders>
              <w:top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91.07</w:t>
            </w:r>
          </w:p>
        </w:tc>
        <w:tc>
          <w:tcPr>
            <w:tcW w:w="424" w:type="dxa"/>
            <w:tcBorders>
              <w:top w:val="nil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81" w:type="dxa"/>
            <w:tcBorders>
              <w:top w:val="single" w:sz="8" w:space="0" w:color="auto"/>
            </w:tcBorders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</w:tr>
      <w:tr w:rsidR="00AC551C" w:rsidRPr="00F26A88" w:rsidTr="00A7135A">
        <w:trPr>
          <w:jc w:val="center"/>
        </w:trPr>
        <w:tc>
          <w:tcPr>
            <w:tcW w:w="1437" w:type="dxa"/>
          </w:tcPr>
          <w:p w:rsidR="00AC551C" w:rsidRPr="00F26A88" w:rsidRDefault="00AC551C" w:rsidP="00A7135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</w:p>
        </w:tc>
        <w:tc>
          <w:tcPr>
            <w:tcW w:w="906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89%</w:t>
            </w:r>
          </w:p>
        </w:tc>
        <w:tc>
          <w:tcPr>
            <w:tcW w:w="1556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-11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81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70.59</w:t>
            </w:r>
          </w:p>
        </w:tc>
        <w:tc>
          <w:tcPr>
            <w:tcW w:w="424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81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61.11</w:t>
            </w:r>
          </w:p>
        </w:tc>
      </w:tr>
      <w:tr w:rsidR="00AC551C" w:rsidRPr="00F26A88" w:rsidTr="00A7135A">
        <w:trPr>
          <w:jc w:val="center"/>
        </w:trPr>
        <w:tc>
          <w:tcPr>
            <w:tcW w:w="1437" w:type="dxa"/>
          </w:tcPr>
          <w:p w:rsidR="00AC551C" w:rsidRPr="00F26A88" w:rsidRDefault="00AC551C" w:rsidP="00A7135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906" w:type="dxa"/>
          </w:tcPr>
          <w:p w:rsidR="00AC551C" w:rsidRPr="00D75873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873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556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3" w:name="OLE_LINK455"/>
            <w:bookmarkStart w:id="24" w:name="OLE_LINK456"/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≥111</w:t>
            </w:r>
            <w:bookmarkEnd w:id="23"/>
            <w:bookmarkEnd w:id="24"/>
          </w:p>
        </w:tc>
        <w:tc>
          <w:tcPr>
            <w:tcW w:w="900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81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45.45</w:t>
            </w:r>
          </w:p>
        </w:tc>
        <w:tc>
          <w:tcPr>
            <w:tcW w:w="424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81" w:type="dxa"/>
          </w:tcPr>
          <w:p w:rsidR="00AC551C" w:rsidRPr="00F26A88" w:rsidRDefault="00AC551C" w:rsidP="00A713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6A88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</w:tbl>
    <w:p w:rsidR="00AC551C" w:rsidRPr="00F26A88" w:rsidRDefault="00AC551C" w:rsidP="00AC551C">
      <w:pPr>
        <w:jc w:val="center"/>
        <w:rPr>
          <w:rFonts w:ascii="Times New Roman" w:hAnsi="Times New Roman" w:cs="Times New Roman"/>
        </w:rPr>
      </w:pPr>
    </w:p>
    <w:p w:rsidR="00954186" w:rsidRDefault="00954186"/>
    <w:sectPr w:rsidR="00954186" w:rsidSect="00E70DC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51C"/>
    <w:rsid w:val="00007F6D"/>
    <w:rsid w:val="0060632F"/>
    <w:rsid w:val="00684A00"/>
    <w:rsid w:val="006A2AB6"/>
    <w:rsid w:val="00751EBA"/>
    <w:rsid w:val="00870CDB"/>
    <w:rsid w:val="00954186"/>
    <w:rsid w:val="00AC551C"/>
    <w:rsid w:val="00B40F35"/>
    <w:rsid w:val="00B95BB9"/>
    <w:rsid w:val="00C1577E"/>
    <w:rsid w:val="00C174CD"/>
    <w:rsid w:val="00E70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606C8F"/>
  <w15:chartTrackingRefBased/>
  <w15:docId w15:val="{6BEDE9CA-29EA-9041-82DE-2AD7ACFF5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51C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551C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063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2019-05-03T11:24:00Z</dcterms:created>
  <dcterms:modified xsi:type="dcterms:W3CDTF">2019-09-25T09:42:00Z</dcterms:modified>
</cp:coreProperties>
</file>